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0E93" w14:textId="77777777" w:rsidR="00DC515F" w:rsidRDefault="007327A2" w:rsidP="007327A2">
      <w:pPr>
        <w:widowControl/>
        <w:spacing w:line="465" w:lineRule="atLeast"/>
        <w:jc w:val="center"/>
        <w:rPr>
          <w:rFonts w:ascii="Times New Roman" w:eastAsia="宋体" w:hAnsi="Times New Roman" w:cs="Times New Roman" w:hint="eastAsia"/>
          <w:color w:val="000000"/>
          <w:kern w:val="0"/>
          <w:sz w:val="33"/>
          <w:szCs w:val="33"/>
        </w:rPr>
      </w:pPr>
      <w:r w:rsidRPr="007327A2">
        <w:rPr>
          <w:rFonts w:ascii="Times New Roman" w:eastAsia="宋体" w:hAnsi="Times New Roman" w:cs="Times New Roman"/>
          <w:color w:val="000000"/>
          <w:kern w:val="0"/>
          <w:sz w:val="33"/>
          <w:szCs w:val="33"/>
        </w:rPr>
        <w:t>河北省财政厅</w:t>
      </w:r>
      <w:r w:rsidRPr="007327A2">
        <w:rPr>
          <w:rFonts w:ascii="Times New Roman" w:eastAsia="宋体" w:hAnsi="Times New Roman" w:cs="Times New Roman"/>
          <w:color w:val="000000"/>
          <w:kern w:val="0"/>
          <w:sz w:val="33"/>
          <w:szCs w:val="33"/>
        </w:rPr>
        <w:t xml:space="preserve"> </w:t>
      </w:r>
      <w:r w:rsidRPr="007327A2">
        <w:rPr>
          <w:rFonts w:ascii="Times New Roman" w:eastAsia="宋体" w:hAnsi="Times New Roman" w:cs="Times New Roman"/>
          <w:color w:val="000000"/>
          <w:kern w:val="0"/>
          <w:sz w:val="33"/>
          <w:szCs w:val="33"/>
        </w:rPr>
        <w:t>河北省科学技术厅</w:t>
      </w:r>
    </w:p>
    <w:p w14:paraId="4A6A8B81" w14:textId="20C71344" w:rsidR="007327A2" w:rsidRPr="007327A2" w:rsidRDefault="007327A2" w:rsidP="007327A2">
      <w:pPr>
        <w:widowControl/>
        <w:spacing w:line="465" w:lineRule="atLeast"/>
        <w:jc w:val="center"/>
        <w:rPr>
          <w:rFonts w:ascii="宋体" w:eastAsia="宋体" w:hAnsi="宋体" w:cs="宋体"/>
          <w:color w:val="454545"/>
          <w:kern w:val="0"/>
          <w:szCs w:val="21"/>
        </w:rPr>
      </w:pPr>
      <w:bookmarkStart w:id="0" w:name="_GoBack"/>
      <w:bookmarkEnd w:id="0"/>
      <w:r w:rsidRPr="007327A2">
        <w:rPr>
          <w:rFonts w:ascii="Times New Roman" w:eastAsia="宋体" w:hAnsi="Times New Roman" w:cs="Times New Roman"/>
          <w:color w:val="000000"/>
          <w:kern w:val="0"/>
          <w:sz w:val="33"/>
          <w:szCs w:val="33"/>
        </w:rPr>
        <w:t>关于印发《河北省创新能力提升专项资金管理办法（暂行）》的通知</w:t>
      </w:r>
    </w:p>
    <w:p w14:paraId="7476C1B5" w14:textId="77777777" w:rsidR="007327A2" w:rsidRPr="007327A2" w:rsidRDefault="007327A2" w:rsidP="007327A2">
      <w:pPr>
        <w:widowControl/>
        <w:spacing w:line="465" w:lineRule="atLeast"/>
        <w:jc w:val="center"/>
        <w:rPr>
          <w:rFonts w:ascii="宋体" w:eastAsia="宋体" w:hAnsi="宋体" w:cs="宋体"/>
          <w:color w:val="454545"/>
          <w:kern w:val="0"/>
          <w:szCs w:val="21"/>
        </w:rPr>
      </w:pPr>
      <w:r w:rsidRPr="007327A2">
        <w:rPr>
          <w:rFonts w:ascii="Times New Roman" w:eastAsia="宋体" w:hAnsi="Times New Roman" w:cs="Times New Roman"/>
          <w:color w:val="000000"/>
          <w:kern w:val="0"/>
          <w:sz w:val="33"/>
          <w:szCs w:val="33"/>
        </w:rPr>
        <w:t> </w:t>
      </w:r>
    </w:p>
    <w:p w14:paraId="0AF22189" w14:textId="77777777" w:rsidR="007327A2" w:rsidRPr="007327A2" w:rsidRDefault="007327A2" w:rsidP="007327A2">
      <w:pPr>
        <w:widowControl/>
        <w:spacing w:line="570" w:lineRule="atLeast"/>
        <w:ind w:firstLine="45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各市（含定州、辛集市）财政局、科技局，省财政直管县财政局、科技局，</w:t>
      </w:r>
      <w:proofErr w:type="gramStart"/>
      <w:r w:rsidRPr="007327A2">
        <w:rPr>
          <w:rFonts w:ascii="仿宋_GB2312" w:eastAsia="仿宋_GB2312" w:hAnsi="宋体" w:cs="宋体" w:hint="eastAsia"/>
          <w:color w:val="000000"/>
          <w:kern w:val="0"/>
          <w:sz w:val="30"/>
          <w:szCs w:val="30"/>
        </w:rPr>
        <w:t>雄安新区</w:t>
      </w:r>
      <w:proofErr w:type="gramEnd"/>
      <w:r w:rsidRPr="007327A2">
        <w:rPr>
          <w:rFonts w:ascii="仿宋_GB2312" w:eastAsia="仿宋_GB2312" w:hAnsi="宋体" w:cs="宋体" w:hint="eastAsia"/>
          <w:color w:val="000000"/>
          <w:kern w:val="0"/>
          <w:sz w:val="30"/>
          <w:szCs w:val="30"/>
        </w:rPr>
        <w:t>管委会，省直有关部门：</w:t>
      </w:r>
    </w:p>
    <w:p w14:paraId="05FD4416" w14:textId="77777777" w:rsidR="007327A2" w:rsidRPr="007327A2" w:rsidRDefault="007327A2" w:rsidP="007327A2">
      <w:pPr>
        <w:widowControl/>
        <w:spacing w:line="570" w:lineRule="atLeast"/>
        <w:ind w:firstLine="45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为规范和加强河北省创新能力提升专项资金管理，提高资金使用效益，根据《国务院关于优化科研管理提升科研绩效若干措施的通知》（国发〔2018〕25号）、《河北省科学技术厅关于印发河北省省级科技计划管理改革方案（试行）的通知》（</w:t>
      </w:r>
      <w:proofErr w:type="gramStart"/>
      <w:r w:rsidRPr="007327A2">
        <w:rPr>
          <w:rFonts w:ascii="仿宋_GB2312" w:eastAsia="仿宋_GB2312" w:hAnsi="宋体" w:cs="宋体" w:hint="eastAsia"/>
          <w:color w:val="000000"/>
          <w:kern w:val="0"/>
          <w:sz w:val="30"/>
          <w:szCs w:val="30"/>
        </w:rPr>
        <w:t>冀科资</w:t>
      </w:r>
      <w:proofErr w:type="gramEnd"/>
      <w:r w:rsidRPr="007327A2">
        <w:rPr>
          <w:rFonts w:ascii="仿宋_GB2312" w:eastAsia="仿宋_GB2312" w:hAnsi="宋体" w:cs="宋体" w:hint="eastAsia"/>
          <w:color w:val="000000"/>
          <w:kern w:val="0"/>
          <w:sz w:val="30"/>
          <w:szCs w:val="30"/>
        </w:rPr>
        <w:t>〔2018〕36号）等文件规定，结合我省实际，省财政厅会同省科技厅研究制定了《河北省创新能力提升专项资金管理办法（暂行）》，现印发给你们，请遵照执行。</w:t>
      </w:r>
    </w:p>
    <w:p w14:paraId="6029C620" w14:textId="77777777" w:rsidR="007327A2" w:rsidRPr="007327A2" w:rsidRDefault="007327A2" w:rsidP="007327A2">
      <w:pPr>
        <w:widowControl/>
        <w:spacing w:line="435" w:lineRule="atLeast"/>
        <w:ind w:firstLine="45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3DA29410" w14:textId="77777777" w:rsidR="007327A2" w:rsidRPr="007327A2" w:rsidRDefault="007327A2" w:rsidP="007327A2">
      <w:pPr>
        <w:widowControl/>
        <w:shd w:val="clear" w:color="auto" w:fill="FFFFFF"/>
        <w:spacing w:line="420" w:lineRule="atLeast"/>
        <w:jc w:val="right"/>
        <w:rPr>
          <w:rFonts w:ascii="宋体" w:eastAsia="宋体" w:hAnsi="宋体" w:cs="宋体"/>
          <w:color w:val="454545"/>
          <w:kern w:val="0"/>
          <w:szCs w:val="21"/>
        </w:rPr>
      </w:pPr>
      <w:r w:rsidRPr="007327A2">
        <w:rPr>
          <w:rFonts w:ascii="宋体" w:eastAsia="宋体" w:hAnsi="宋体" w:cs="宋体"/>
          <w:color w:val="000000"/>
          <w:kern w:val="0"/>
          <w:sz w:val="30"/>
          <w:szCs w:val="30"/>
        </w:rPr>
        <w:t>河北省财政厅</w:t>
      </w:r>
      <w:r w:rsidRPr="007327A2">
        <w:rPr>
          <w:rFonts w:ascii="Verdana" w:eastAsia="宋体" w:hAnsi="Verdana" w:cs="宋体"/>
          <w:color w:val="000000"/>
          <w:kern w:val="0"/>
          <w:sz w:val="30"/>
          <w:szCs w:val="30"/>
        </w:rPr>
        <w:t>    </w:t>
      </w:r>
      <w:r w:rsidRPr="007327A2">
        <w:rPr>
          <w:rFonts w:ascii="宋体" w:eastAsia="宋体" w:hAnsi="宋体" w:cs="宋体"/>
          <w:color w:val="000000"/>
          <w:kern w:val="0"/>
          <w:sz w:val="30"/>
          <w:szCs w:val="30"/>
        </w:rPr>
        <w:t>河北省科学技术厅</w:t>
      </w:r>
    </w:p>
    <w:p w14:paraId="21170CDF" w14:textId="77777777" w:rsidR="007327A2" w:rsidRPr="007327A2" w:rsidRDefault="007327A2" w:rsidP="007327A2">
      <w:pPr>
        <w:widowControl/>
        <w:shd w:val="clear" w:color="auto" w:fill="FFFFFF"/>
        <w:spacing w:line="420" w:lineRule="atLeast"/>
        <w:jc w:val="left"/>
        <w:rPr>
          <w:rFonts w:ascii="宋体" w:eastAsia="宋体" w:hAnsi="宋体" w:cs="宋体"/>
          <w:color w:val="454545"/>
          <w:kern w:val="0"/>
          <w:szCs w:val="21"/>
        </w:rPr>
      </w:pPr>
      <w:r w:rsidRPr="007327A2">
        <w:rPr>
          <w:rFonts w:ascii="Verdana" w:eastAsia="宋体" w:hAnsi="Verdana" w:cs="宋体"/>
          <w:color w:val="000000"/>
          <w:kern w:val="0"/>
          <w:szCs w:val="21"/>
        </w:rPr>
        <w:t> </w:t>
      </w:r>
    </w:p>
    <w:p w14:paraId="0C557F70" w14:textId="77777777" w:rsidR="007327A2" w:rsidRPr="007327A2" w:rsidRDefault="007327A2" w:rsidP="007327A2">
      <w:pPr>
        <w:widowControl/>
        <w:shd w:val="clear" w:color="auto" w:fill="FFFFFF"/>
        <w:spacing w:line="435" w:lineRule="atLeast"/>
        <w:ind w:firstLine="450"/>
        <w:jc w:val="righ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2019年2月27日</w:t>
      </w:r>
    </w:p>
    <w:p w14:paraId="4706968C" w14:textId="77777777" w:rsidR="007327A2" w:rsidRPr="007327A2" w:rsidRDefault="007327A2" w:rsidP="007327A2">
      <w:pPr>
        <w:widowControl/>
        <w:shd w:val="clear" w:color="auto" w:fill="FFFFFF"/>
        <w:spacing w:line="420" w:lineRule="atLeast"/>
        <w:jc w:val="left"/>
        <w:rPr>
          <w:rFonts w:ascii="宋体" w:eastAsia="宋体" w:hAnsi="宋体" w:cs="宋体"/>
          <w:color w:val="454545"/>
          <w:kern w:val="0"/>
          <w:szCs w:val="21"/>
        </w:rPr>
      </w:pPr>
      <w:r w:rsidRPr="007327A2">
        <w:rPr>
          <w:rFonts w:ascii="Verdana" w:eastAsia="宋体" w:hAnsi="Verdana" w:cs="宋体"/>
          <w:color w:val="000000"/>
          <w:kern w:val="0"/>
          <w:szCs w:val="21"/>
        </w:rPr>
        <w:t> </w:t>
      </w:r>
    </w:p>
    <w:p w14:paraId="62CA4ECD"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Times New Roman" w:eastAsia="宋体" w:hAnsi="Times New Roman" w:cs="Times New Roman"/>
          <w:color w:val="000000"/>
          <w:kern w:val="0"/>
          <w:sz w:val="33"/>
          <w:szCs w:val="33"/>
        </w:rPr>
        <w:t>河北省创新能力提升专项资金管理办法（暂行）</w:t>
      </w:r>
    </w:p>
    <w:p w14:paraId="063DF56E"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Verdana" w:eastAsia="宋体" w:hAnsi="Verdana" w:cs="宋体"/>
          <w:color w:val="000000"/>
          <w:kern w:val="0"/>
          <w:szCs w:val="21"/>
        </w:rPr>
        <w:t> </w:t>
      </w:r>
    </w:p>
    <w:p w14:paraId="11FD201B"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第一章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总</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则</w:t>
      </w:r>
    </w:p>
    <w:p w14:paraId="36C5668E"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第一条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为深入实施创新驱动发展战略，加快创新型河北建设，规范和加强河北省创新能力提升专项资金（以下简称</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专项</w:t>
      </w:r>
      <w:r w:rsidRPr="007327A2">
        <w:rPr>
          <w:rFonts w:ascii="仿宋_GB2312" w:eastAsia="仿宋_GB2312" w:hAnsi="宋体" w:cs="宋体" w:hint="eastAsia"/>
          <w:color w:val="000000"/>
          <w:kern w:val="0"/>
          <w:sz w:val="30"/>
          <w:szCs w:val="30"/>
        </w:rPr>
        <w:lastRenderedPageBreak/>
        <w:t>资金</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）管理，提高资金使用效益，根据《国务院关于优化科研管理提升科研绩效若干措施的通知》（国发〔2018〕25号）、《河北省科学技术厅关于印发河北省省级科技计划管理改革方案（试行）的通知》（</w:t>
      </w:r>
      <w:proofErr w:type="gramStart"/>
      <w:r w:rsidRPr="007327A2">
        <w:rPr>
          <w:rFonts w:ascii="仿宋_GB2312" w:eastAsia="仿宋_GB2312" w:hAnsi="宋体" w:cs="宋体" w:hint="eastAsia"/>
          <w:color w:val="000000"/>
          <w:kern w:val="0"/>
          <w:sz w:val="30"/>
          <w:szCs w:val="30"/>
        </w:rPr>
        <w:t>冀科资</w:t>
      </w:r>
      <w:proofErr w:type="gramEnd"/>
      <w:r w:rsidRPr="007327A2">
        <w:rPr>
          <w:rFonts w:ascii="仿宋_GB2312" w:eastAsia="仿宋_GB2312" w:hAnsi="宋体" w:cs="宋体" w:hint="eastAsia"/>
          <w:color w:val="000000"/>
          <w:kern w:val="0"/>
          <w:sz w:val="30"/>
          <w:szCs w:val="30"/>
        </w:rPr>
        <w:t>〔2018〕36号），制定本办法。</w:t>
      </w:r>
    </w:p>
    <w:p w14:paraId="4DFC18A5"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第二条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本办法所称专项资金，主要用于提高我省科技创新条件保障能力，支持高水平研发平台、创新人才和团队创新活动、京津冀协同创新及京</w:t>
      </w:r>
      <w:proofErr w:type="gramStart"/>
      <w:r w:rsidRPr="007327A2">
        <w:rPr>
          <w:rFonts w:ascii="仿宋_GB2312" w:eastAsia="仿宋_GB2312" w:hAnsi="宋体" w:cs="宋体" w:hint="eastAsia"/>
          <w:color w:val="000000"/>
          <w:kern w:val="0"/>
          <w:sz w:val="30"/>
          <w:szCs w:val="30"/>
        </w:rPr>
        <w:t>南成果</w:t>
      </w:r>
      <w:proofErr w:type="gramEnd"/>
      <w:r w:rsidRPr="007327A2">
        <w:rPr>
          <w:rFonts w:ascii="仿宋_GB2312" w:eastAsia="仿宋_GB2312" w:hAnsi="宋体" w:cs="宋体" w:hint="eastAsia"/>
          <w:color w:val="000000"/>
          <w:kern w:val="0"/>
          <w:sz w:val="30"/>
          <w:szCs w:val="30"/>
        </w:rPr>
        <w:t>转化试验区建设等，促进科技资源开放共享。</w:t>
      </w:r>
    </w:p>
    <w:p w14:paraId="5B4A6195"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第三条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专项资金管理使用遵循</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绩效导向、聚焦重点、分类管理、程序透明</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的原则。</w:t>
      </w:r>
    </w:p>
    <w:p w14:paraId="4F8E83B2"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295F1317"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第二章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支持方向和范围</w:t>
      </w:r>
    </w:p>
    <w:p w14:paraId="3F6C2183"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第四条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专项资金主要包括：</w:t>
      </w:r>
    </w:p>
    <w:p w14:paraId="324E755C"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（一）科技研发平台建设资金；</w:t>
      </w:r>
    </w:p>
    <w:p w14:paraId="06F90AF0"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（二）高水平人才团队建设资金；</w:t>
      </w:r>
    </w:p>
    <w:p w14:paraId="1B255BBA"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（三）京津冀协同创新共同体建设资金；</w:t>
      </w:r>
    </w:p>
    <w:p w14:paraId="033CAD70"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（四）资源开放共享资金。</w:t>
      </w:r>
    </w:p>
    <w:p w14:paraId="49D66460"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第五条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专项资金支持方向：</w:t>
      </w:r>
    </w:p>
    <w:p w14:paraId="40D583AE"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（一）科技研发平台建设资金，主要用于支持国家级研发平台、支持省级研发平台、提升科技基础条件建设，在学科建设、高层次人才引进、人才培养、重大科研突破、科研成果转化等方面发挥示范带头作用。</w:t>
      </w:r>
    </w:p>
    <w:p w14:paraId="5A297BA8"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lastRenderedPageBreak/>
        <w:t>（二）高水平人才团队建设资金，引进支持一批带技术、带成果、带项目的高层次产业创新创业团队，支持一批院士工作站建设，为我省产业发展迈向中高端提供人才智力支持。</w:t>
      </w:r>
    </w:p>
    <w:p w14:paraId="0479C6E2"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（三）京津冀协同创新共同体建设资金，重点支持我省创新主体与京津协同开展共性关键技术研究，力争突破一批制约经济社会发展的共性关键技术，形成一批具有自主知识产权的重要科技成果。</w:t>
      </w:r>
    </w:p>
    <w:p w14:paraId="4ECF8053"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（四）资源开放共享资金，支持大型科研仪器设备资源开放共享，提升科技资源使用效率，促进产学研协作。</w:t>
      </w:r>
    </w:p>
    <w:p w14:paraId="097AE126"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第六条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专项资金支持的单位应符合以下条件：</w:t>
      </w:r>
    </w:p>
    <w:p w14:paraId="4A1C1EFC"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（一）在我省行政区域内注册或我省所属的，具有独立法人资格并具备科研开发能力和条件的高等学校、科研院所、企事业单位、其它社会组织或机构等。</w:t>
      </w:r>
    </w:p>
    <w:p w14:paraId="33DD7B85"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（二）具有组织或开展科技创新活动的基础、能力和条件。</w:t>
      </w:r>
    </w:p>
    <w:p w14:paraId="52D86C37"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（三）符合项目申报指南或申报资质要求的其它条件。</w:t>
      </w:r>
    </w:p>
    <w:p w14:paraId="53BC5E15" w14:textId="77777777" w:rsidR="007327A2" w:rsidRPr="007327A2" w:rsidRDefault="007327A2" w:rsidP="007327A2">
      <w:pPr>
        <w:widowControl/>
        <w:shd w:val="clear" w:color="auto" w:fill="FFFFFF"/>
        <w:spacing w:line="42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7C723F3D"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第三章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部门职责</w:t>
      </w:r>
    </w:p>
    <w:p w14:paraId="45F111C7"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第七条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省财政厅主要职责：会同省科技厅制定专项资金管理办法，并负责专项资金的预算审核、资金拨付。</w:t>
      </w:r>
    </w:p>
    <w:p w14:paraId="4C43DAA1"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第八条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省科技厅主要职责：配合省财政厅制定专项资金管理办法；编制</w:t>
      </w:r>
      <w:proofErr w:type="gramStart"/>
      <w:r w:rsidRPr="007327A2">
        <w:rPr>
          <w:rFonts w:ascii="仿宋_GB2312" w:eastAsia="仿宋_GB2312" w:hAnsi="宋体" w:cs="宋体" w:hint="eastAsia"/>
          <w:color w:val="000000"/>
          <w:kern w:val="0"/>
          <w:sz w:val="30"/>
          <w:szCs w:val="30"/>
        </w:rPr>
        <w:t>发布省</w:t>
      </w:r>
      <w:proofErr w:type="gramEnd"/>
      <w:r w:rsidRPr="007327A2">
        <w:rPr>
          <w:rFonts w:ascii="仿宋_GB2312" w:eastAsia="仿宋_GB2312" w:hAnsi="宋体" w:cs="宋体" w:hint="eastAsia"/>
          <w:color w:val="000000"/>
          <w:kern w:val="0"/>
          <w:sz w:val="30"/>
          <w:szCs w:val="30"/>
        </w:rPr>
        <w:t>重点项目申报指南，组织项目申报、评审与</w:t>
      </w:r>
      <w:r w:rsidRPr="007327A2">
        <w:rPr>
          <w:rFonts w:ascii="仿宋_GB2312" w:eastAsia="仿宋_GB2312" w:hAnsi="宋体" w:cs="宋体" w:hint="eastAsia"/>
          <w:color w:val="000000"/>
          <w:kern w:val="0"/>
          <w:sz w:val="30"/>
          <w:szCs w:val="30"/>
        </w:rPr>
        <w:lastRenderedPageBreak/>
        <w:t>立项，组织专项资金预算编制、绩效评价，对项目组织实施进行监管。</w:t>
      </w:r>
    </w:p>
    <w:p w14:paraId="62273C6F"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16466863"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第四章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资金分配使用管理</w:t>
      </w:r>
    </w:p>
    <w:p w14:paraId="261F4D52"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第九条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专项资金主要采用事前资助和后补助相结合的支持方式。具体支持方式和标准，由实施细则确定。</w:t>
      </w:r>
    </w:p>
    <w:p w14:paraId="19E614D7"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专项资金拨付至项目承担单位后,由承担单位按资金使用要求、支出方向和范围用于开展相应科技创新活动。专项资金独立核算、专款专用。</w:t>
      </w:r>
    </w:p>
    <w:p w14:paraId="2ABA2B9D"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第十一条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专项资金不得用于支付各种罚款、捐款、偿还债务等支出,不得用于国家规定禁止列支的其他支出。</w:t>
      </w:r>
    </w:p>
    <w:p w14:paraId="4327DFA8"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第十二条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省属高校、科研院所要根据科研工作的特点，对科研需要的出差和会议按标准报销相关费用并简化相关手续。</w:t>
      </w:r>
    </w:p>
    <w:p w14:paraId="6BBBFDA8"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25FEF6C4"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第五章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绩效管理</w:t>
      </w:r>
    </w:p>
    <w:p w14:paraId="414D83DC"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第十三条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省科技厅负责拟定专项资金绩效目标,包括组织管理、支出进度等共性评价指标。负责组织对专项资金绩效目标实现程度、预算执行进度实行</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双监控</w:t>
      </w:r>
      <w:r w:rsidRPr="007327A2">
        <w:rPr>
          <w:rFonts w:ascii="宋体" w:eastAsia="宋体" w:hAnsi="宋体" w:cs="宋体"/>
          <w:color w:val="000000"/>
          <w:kern w:val="0"/>
          <w:sz w:val="30"/>
          <w:szCs w:val="30"/>
        </w:rPr>
        <w:t>”</w:t>
      </w:r>
      <w:r w:rsidRPr="007327A2">
        <w:rPr>
          <w:rFonts w:ascii="仿宋_GB2312" w:eastAsia="仿宋_GB2312" w:hAnsi="宋体" w:cs="宋体" w:hint="eastAsia"/>
          <w:color w:val="000000"/>
          <w:kern w:val="0"/>
          <w:sz w:val="30"/>
          <w:szCs w:val="30"/>
        </w:rPr>
        <w:t>，负责组织对专项资金使用效果开展绩效评价。</w:t>
      </w:r>
    </w:p>
    <w:p w14:paraId="55C873C6"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第十四条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省财政厅会同省科技厅将绩效评价结果作为以后年度安排预算和专项资金统筹使用的重要依据。对绩效评价结果较好的项目领域, 适当加大支持力度; 对实际执行效果与预期</w:t>
      </w:r>
      <w:r w:rsidRPr="007327A2">
        <w:rPr>
          <w:rFonts w:ascii="仿宋_GB2312" w:eastAsia="仿宋_GB2312" w:hAnsi="宋体" w:cs="宋体" w:hint="eastAsia"/>
          <w:color w:val="000000"/>
          <w:kern w:val="0"/>
          <w:sz w:val="30"/>
          <w:szCs w:val="30"/>
        </w:rPr>
        <w:lastRenderedPageBreak/>
        <w:t>目标差距较大、绩效评价结果较差的, 依法相应</w:t>
      </w:r>
      <w:proofErr w:type="gramStart"/>
      <w:r w:rsidRPr="007327A2">
        <w:rPr>
          <w:rFonts w:ascii="仿宋_GB2312" w:eastAsia="仿宋_GB2312" w:hAnsi="宋体" w:cs="宋体" w:hint="eastAsia"/>
          <w:color w:val="000000"/>
          <w:kern w:val="0"/>
          <w:sz w:val="30"/>
          <w:szCs w:val="30"/>
        </w:rPr>
        <w:t>扣减专项</w:t>
      </w:r>
      <w:proofErr w:type="gramEnd"/>
      <w:r w:rsidRPr="007327A2">
        <w:rPr>
          <w:rFonts w:ascii="仿宋_GB2312" w:eastAsia="仿宋_GB2312" w:hAnsi="宋体" w:cs="宋体" w:hint="eastAsia"/>
          <w:color w:val="000000"/>
          <w:kern w:val="0"/>
          <w:sz w:val="30"/>
          <w:szCs w:val="30"/>
        </w:rPr>
        <w:t>资金规模直至取消后续资金安排。</w:t>
      </w:r>
    </w:p>
    <w:p w14:paraId="060E5F81"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第十五条</w:t>
      </w:r>
      <w:r w:rsidRPr="007327A2">
        <w:rPr>
          <w:rFonts w:ascii="宋体" w:eastAsia="宋体" w:hAnsi="宋体" w:cs="宋体"/>
          <w:color w:val="000000"/>
          <w:kern w:val="0"/>
          <w:sz w:val="30"/>
          <w:szCs w:val="30"/>
        </w:rPr>
        <w:t>  </w:t>
      </w:r>
      <w:r w:rsidRPr="007327A2">
        <w:rPr>
          <w:rFonts w:ascii="仿宋_GB2312" w:eastAsia="仿宋_GB2312" w:hAnsi="宋体" w:cs="宋体" w:hint="eastAsia"/>
          <w:color w:val="000000"/>
          <w:kern w:val="0"/>
          <w:sz w:val="30"/>
          <w:szCs w:val="30"/>
        </w:rPr>
        <w:t>省科技厅、省财政厅探索委托第三方机构开展专项资金绩效评价工作。</w:t>
      </w:r>
    </w:p>
    <w:p w14:paraId="707292E7"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Verdana" w:eastAsia="宋体" w:hAnsi="Verdana" w:cs="宋体"/>
          <w:color w:val="000000"/>
          <w:kern w:val="0"/>
          <w:szCs w:val="21"/>
        </w:rPr>
        <w:t> </w:t>
      </w:r>
    </w:p>
    <w:p w14:paraId="767AAD36"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第六章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监督检查</w:t>
      </w:r>
    </w:p>
    <w:p w14:paraId="5B53F637"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第十六条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专项资金管理和使用应当严格执行有关法律法规、财务规章制度和本办法的相关规定。</w:t>
      </w:r>
    </w:p>
    <w:p w14:paraId="3F1970BA"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第十七条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建立专项资金使用管理公开公示制度。具体内容包括:</w:t>
      </w:r>
    </w:p>
    <w:p w14:paraId="4E0653C1"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w:t>
      </w:r>
      <w:proofErr w:type="gramStart"/>
      <w:r w:rsidRPr="007327A2">
        <w:rPr>
          <w:rFonts w:ascii="仿宋_GB2312" w:eastAsia="仿宋_GB2312" w:hAnsi="宋体" w:cs="宋体" w:hint="eastAsia"/>
          <w:color w:val="000000"/>
          <w:kern w:val="0"/>
          <w:sz w:val="30"/>
          <w:szCs w:val="30"/>
        </w:rPr>
        <w:t>一</w:t>
      </w:r>
      <w:proofErr w:type="gramEnd"/>
      <w:r w:rsidRPr="007327A2">
        <w:rPr>
          <w:rFonts w:ascii="仿宋_GB2312" w:eastAsia="仿宋_GB2312" w:hAnsi="宋体" w:cs="宋体" w:hint="eastAsia"/>
          <w:color w:val="000000"/>
          <w:kern w:val="0"/>
          <w:sz w:val="30"/>
          <w:szCs w:val="30"/>
        </w:rPr>
        <w:t>)资金管理办法、实施方案等相关制度文件；</w:t>
      </w:r>
    </w:p>
    <w:p w14:paraId="63C7F831"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(二)项目申报指南、补助标准等申报通知；</w:t>
      </w:r>
    </w:p>
    <w:p w14:paraId="09894AEB"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(三)获得补助企业名单；</w:t>
      </w:r>
    </w:p>
    <w:p w14:paraId="730BC80C" w14:textId="77777777" w:rsidR="007327A2" w:rsidRPr="007327A2" w:rsidRDefault="007327A2" w:rsidP="007327A2">
      <w:pPr>
        <w:widowControl/>
        <w:shd w:val="clear" w:color="auto" w:fill="FFFFFF"/>
        <w:spacing w:line="570" w:lineRule="atLeast"/>
        <w:ind w:firstLine="600"/>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(四)其他按规定应公开的内容。</w:t>
      </w:r>
    </w:p>
    <w:p w14:paraId="26067AC8"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第十八条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对存在弄虚作假骗取专项资金的单位,按照《预算法》、《财政违法行为处罚处分条例》等规定进行处理, 涉嫌犯罪的, 移送司法机关处理。</w:t>
      </w:r>
    </w:p>
    <w:p w14:paraId="61A11F66"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仿宋_GB2312" w:eastAsia="仿宋_GB2312" w:hAnsi="宋体" w:cs="宋体" w:hint="eastAsia"/>
          <w:color w:val="000000"/>
          <w:kern w:val="0"/>
          <w:sz w:val="30"/>
          <w:szCs w:val="30"/>
        </w:rPr>
        <w:t> </w:t>
      </w:r>
    </w:p>
    <w:p w14:paraId="7D3E7699" w14:textId="77777777" w:rsidR="007327A2" w:rsidRPr="007327A2" w:rsidRDefault="007327A2" w:rsidP="007327A2">
      <w:pPr>
        <w:widowControl/>
        <w:spacing w:line="570" w:lineRule="atLeast"/>
        <w:jc w:val="center"/>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第七章</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附</w:t>
      </w:r>
      <w:r w:rsidRPr="007327A2">
        <w:rPr>
          <w:rFonts w:ascii="Calibri" w:eastAsia="黑体" w:hAnsi="Calibri" w:cs="Calibri"/>
          <w:color w:val="000000"/>
          <w:kern w:val="0"/>
          <w:sz w:val="30"/>
          <w:szCs w:val="30"/>
        </w:rPr>
        <w:t> </w:t>
      </w:r>
      <w:r w:rsidRPr="007327A2">
        <w:rPr>
          <w:rFonts w:ascii="黑体" w:eastAsia="黑体" w:hAnsi="黑体" w:cs="宋体" w:hint="eastAsia"/>
          <w:color w:val="000000"/>
          <w:kern w:val="0"/>
          <w:sz w:val="30"/>
          <w:szCs w:val="30"/>
        </w:rPr>
        <w:t xml:space="preserve"> 则</w:t>
      </w:r>
    </w:p>
    <w:p w14:paraId="6058D706"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第十九条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本办法由省财政厅会同省科技厅负责解释。</w:t>
      </w:r>
    </w:p>
    <w:p w14:paraId="4B3DDC5E"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t>第二十条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本办法第四条涵盖的各项资金，均应按要求制定实施细则。</w:t>
      </w:r>
    </w:p>
    <w:p w14:paraId="1F3BDE2A" w14:textId="77777777" w:rsidR="007327A2" w:rsidRPr="007327A2" w:rsidRDefault="007327A2" w:rsidP="007327A2">
      <w:pPr>
        <w:widowControl/>
        <w:spacing w:line="570" w:lineRule="atLeast"/>
        <w:ind w:firstLine="585"/>
        <w:jc w:val="left"/>
        <w:rPr>
          <w:rFonts w:ascii="宋体" w:eastAsia="宋体" w:hAnsi="宋体" w:cs="宋体"/>
          <w:color w:val="454545"/>
          <w:kern w:val="0"/>
          <w:szCs w:val="21"/>
        </w:rPr>
      </w:pPr>
      <w:r w:rsidRPr="007327A2">
        <w:rPr>
          <w:rFonts w:ascii="黑体" w:eastAsia="黑体" w:hAnsi="黑体" w:cs="宋体" w:hint="eastAsia"/>
          <w:color w:val="000000"/>
          <w:kern w:val="0"/>
          <w:sz w:val="30"/>
          <w:szCs w:val="30"/>
        </w:rPr>
        <w:lastRenderedPageBreak/>
        <w:t>第二十一条</w:t>
      </w:r>
      <w:r w:rsidRPr="007327A2">
        <w:rPr>
          <w:rFonts w:ascii="Calibri" w:eastAsia="黑体" w:hAnsi="Calibri" w:cs="Calibri"/>
          <w:color w:val="000000"/>
          <w:kern w:val="0"/>
          <w:sz w:val="30"/>
          <w:szCs w:val="30"/>
        </w:rPr>
        <w:t>  </w:t>
      </w:r>
      <w:r w:rsidRPr="007327A2">
        <w:rPr>
          <w:rFonts w:ascii="仿宋_GB2312" w:eastAsia="仿宋_GB2312" w:hAnsi="宋体" w:cs="宋体" w:hint="eastAsia"/>
          <w:color w:val="000000"/>
          <w:kern w:val="0"/>
          <w:sz w:val="30"/>
          <w:szCs w:val="30"/>
        </w:rPr>
        <w:t>本办法自2019年2月27日起施行，有效期两年。</w:t>
      </w:r>
    </w:p>
    <w:p w14:paraId="56C6A6D5" w14:textId="77777777" w:rsidR="007327A2" w:rsidRPr="007327A2" w:rsidRDefault="007327A2" w:rsidP="007327A2">
      <w:pPr>
        <w:widowControl/>
        <w:spacing w:line="420" w:lineRule="atLeast"/>
        <w:jc w:val="left"/>
        <w:rPr>
          <w:rFonts w:ascii="宋体" w:eastAsia="宋体" w:hAnsi="宋体" w:cs="宋体"/>
          <w:color w:val="454545"/>
          <w:kern w:val="0"/>
          <w:szCs w:val="21"/>
        </w:rPr>
      </w:pPr>
      <w:r w:rsidRPr="007327A2">
        <w:rPr>
          <w:rFonts w:ascii="宋体" w:eastAsia="宋体" w:hAnsi="宋体" w:cs="宋体"/>
          <w:color w:val="454545"/>
          <w:kern w:val="0"/>
          <w:szCs w:val="21"/>
        </w:rPr>
        <w:t> </w:t>
      </w:r>
    </w:p>
    <w:p w14:paraId="406DE2CA" w14:textId="77777777" w:rsidR="001B45B5" w:rsidRDefault="001B45B5"/>
    <w:sectPr w:rsidR="001B4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B9909" w14:textId="77777777" w:rsidR="00A933AC" w:rsidRDefault="00A933AC" w:rsidP="00DC515F">
      <w:r>
        <w:separator/>
      </w:r>
    </w:p>
  </w:endnote>
  <w:endnote w:type="continuationSeparator" w:id="0">
    <w:p w14:paraId="34F1F444" w14:textId="77777777" w:rsidR="00A933AC" w:rsidRDefault="00A933AC" w:rsidP="00DC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方正舒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E827F" w14:textId="77777777" w:rsidR="00A933AC" w:rsidRDefault="00A933AC" w:rsidP="00DC515F">
      <w:r>
        <w:separator/>
      </w:r>
    </w:p>
  </w:footnote>
  <w:footnote w:type="continuationSeparator" w:id="0">
    <w:p w14:paraId="1B45BF54" w14:textId="77777777" w:rsidR="00A933AC" w:rsidRDefault="00A933AC" w:rsidP="00DC5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06"/>
    <w:rsid w:val="001B45B5"/>
    <w:rsid w:val="007327A2"/>
    <w:rsid w:val="00A13506"/>
    <w:rsid w:val="00A933AC"/>
    <w:rsid w:val="00DC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7A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5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515F"/>
    <w:rPr>
      <w:sz w:val="18"/>
      <w:szCs w:val="18"/>
    </w:rPr>
  </w:style>
  <w:style w:type="paragraph" w:styleId="a5">
    <w:name w:val="footer"/>
    <w:basedOn w:val="a"/>
    <w:link w:val="Char0"/>
    <w:uiPriority w:val="99"/>
    <w:unhideWhenUsed/>
    <w:rsid w:val="00DC515F"/>
    <w:pPr>
      <w:tabs>
        <w:tab w:val="center" w:pos="4153"/>
        <w:tab w:val="right" w:pos="8306"/>
      </w:tabs>
      <w:snapToGrid w:val="0"/>
      <w:jc w:val="left"/>
    </w:pPr>
    <w:rPr>
      <w:sz w:val="18"/>
      <w:szCs w:val="18"/>
    </w:rPr>
  </w:style>
  <w:style w:type="character" w:customStyle="1" w:styleId="Char0">
    <w:name w:val="页脚 Char"/>
    <w:basedOn w:val="a0"/>
    <w:link w:val="a5"/>
    <w:uiPriority w:val="99"/>
    <w:rsid w:val="00DC51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7A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5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515F"/>
    <w:rPr>
      <w:sz w:val="18"/>
      <w:szCs w:val="18"/>
    </w:rPr>
  </w:style>
  <w:style w:type="paragraph" w:styleId="a5">
    <w:name w:val="footer"/>
    <w:basedOn w:val="a"/>
    <w:link w:val="Char0"/>
    <w:uiPriority w:val="99"/>
    <w:unhideWhenUsed/>
    <w:rsid w:val="00DC515F"/>
    <w:pPr>
      <w:tabs>
        <w:tab w:val="center" w:pos="4153"/>
        <w:tab w:val="right" w:pos="8306"/>
      </w:tabs>
      <w:snapToGrid w:val="0"/>
      <w:jc w:val="left"/>
    </w:pPr>
    <w:rPr>
      <w:sz w:val="18"/>
      <w:szCs w:val="18"/>
    </w:rPr>
  </w:style>
  <w:style w:type="character" w:customStyle="1" w:styleId="Char0">
    <w:name w:val="页脚 Char"/>
    <w:basedOn w:val="a0"/>
    <w:link w:val="a5"/>
    <w:uiPriority w:val="99"/>
    <w:rsid w:val="00DC51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9872">
      <w:bodyDiv w:val="1"/>
      <w:marLeft w:val="0"/>
      <w:marRight w:val="0"/>
      <w:marTop w:val="0"/>
      <w:marBottom w:val="0"/>
      <w:divBdr>
        <w:top w:val="none" w:sz="0" w:space="0" w:color="auto"/>
        <w:left w:val="none" w:sz="0" w:space="0" w:color="auto"/>
        <w:bottom w:val="none" w:sz="0" w:space="0" w:color="auto"/>
        <w:right w:val="none" w:sz="0" w:space="0" w:color="auto"/>
      </w:divBdr>
      <w:divsChild>
        <w:div w:id="132254938">
          <w:marLeft w:val="300"/>
          <w:marRight w:val="300"/>
          <w:marTop w:val="450"/>
          <w:marBottom w:val="0"/>
          <w:divBdr>
            <w:top w:val="none" w:sz="0" w:space="0" w:color="auto"/>
            <w:left w:val="none" w:sz="0" w:space="0" w:color="auto"/>
            <w:bottom w:val="none" w:sz="0" w:space="0" w:color="auto"/>
            <w:right w:val="none" w:sz="0" w:space="0" w:color="auto"/>
          </w:divBdr>
        </w:div>
        <w:div w:id="15735535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lfwxxiafaji</dc:creator>
  <cp:lastModifiedBy>lfwxxiafaji</cp:lastModifiedBy>
  <cp:revision>2</cp:revision>
  <dcterms:created xsi:type="dcterms:W3CDTF">2020-09-09T07:00:00Z</dcterms:created>
  <dcterms:modified xsi:type="dcterms:W3CDTF">2020-09-09T07:00:00Z</dcterms:modified>
</cp:coreProperties>
</file>